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EF" w:rsidRDefault="00C01BCC" w:rsidP="00C01BCC">
      <w:pPr>
        <w:pStyle w:val="1"/>
        <w:numPr>
          <w:ilvl w:val="0"/>
          <w:numId w:val="0"/>
        </w:numPr>
        <w:ind w:left="1567"/>
        <w:jc w:val="left"/>
        <w:rPr>
          <w:sz w:val="32"/>
        </w:rPr>
      </w:pPr>
      <w:r>
        <w:rPr>
          <w:sz w:val="32"/>
        </w:rPr>
        <w:t xml:space="preserve">           </w:t>
      </w:r>
      <w:r w:rsidR="006160EF" w:rsidRPr="00736E4D">
        <w:rPr>
          <w:sz w:val="32"/>
        </w:rPr>
        <w:t>Информация для участников ОГЭ</w:t>
      </w:r>
    </w:p>
    <w:p w:rsidR="00C01BCC" w:rsidRPr="00F82157" w:rsidRDefault="00C01BCC" w:rsidP="00F82157">
      <w:pPr>
        <w:ind w:right="-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(</w:t>
      </w:r>
      <w:r>
        <w:rPr>
          <w:bCs/>
          <w:lang w:eastAsia="en-US"/>
        </w:rPr>
        <w:t>письмо РОН от 13.03.2014 № 02-10</w:t>
      </w:r>
      <w:r>
        <w:rPr>
          <w:bCs/>
          <w:sz w:val="28"/>
          <w:szCs w:val="28"/>
          <w:lang w:eastAsia="en-US"/>
        </w:rPr>
        <w:t>5 «</w:t>
      </w:r>
      <w:r>
        <w:rPr>
          <w:lang w:eastAsia="en-US"/>
        </w:rPr>
        <w:t>Методические рекомендации</w:t>
      </w:r>
      <w:r>
        <w:rPr>
          <w:bCs/>
          <w:sz w:val="28"/>
          <w:szCs w:val="28"/>
          <w:lang w:eastAsia="en-US"/>
        </w:rPr>
        <w:t xml:space="preserve"> </w:t>
      </w:r>
      <w:r>
        <w:rPr>
          <w:lang w:eastAsia="en-US"/>
        </w:rPr>
        <w:t>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экзамена»)</w:t>
      </w:r>
    </w:p>
    <w:p w:rsidR="006160EF" w:rsidRDefault="006160EF" w:rsidP="006160EF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6160EF" w:rsidRDefault="006160EF" w:rsidP="006160E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</w:t>
      </w:r>
      <w:r w:rsidRPr="00FF4E4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 – ГИА)  по русскому языку и математике.</w:t>
      </w:r>
    </w:p>
    <w:p w:rsidR="006160EF" w:rsidRDefault="006160EF" w:rsidP="006160E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 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160EF" w:rsidRPr="006D1DFE" w:rsidRDefault="006160EF" w:rsidP="006160E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>организация индивидуального отбора при при</w:t>
      </w:r>
      <w:r>
        <w:rPr>
          <w:bCs/>
          <w:sz w:val="28"/>
          <w:szCs w:val="28"/>
        </w:rPr>
        <w:t>ё</w:t>
      </w:r>
      <w:r w:rsidRPr="006D1DFE">
        <w:rPr>
          <w:bCs/>
          <w:sz w:val="28"/>
          <w:szCs w:val="28"/>
        </w:rPr>
        <w:t>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160EF" w:rsidRDefault="006160EF" w:rsidP="006160E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6160EF" w:rsidRDefault="006160EF" w:rsidP="006160E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ГИА проводится в формах- основного государственного экзамена (далее – ОГЭ) и государственного выпускного экзамена (далее – ГВЭ).</w:t>
      </w:r>
    </w:p>
    <w:p w:rsidR="006160EF" w:rsidRDefault="006160EF" w:rsidP="006160E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общего образования. При проведении ОГЭ используются контрольные измерительные материалы стандартизированной формы.</w:t>
      </w:r>
    </w:p>
    <w:p w:rsidR="006160EF" w:rsidRDefault="006160EF" w:rsidP="006160E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 – форма ГИА в виде</w:t>
      </w:r>
      <w:r w:rsidR="007E34FE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6160EF" w:rsidRDefault="006160EF" w:rsidP="006160E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160EF" w:rsidRDefault="006160EF" w:rsidP="006160EF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6160EF" w:rsidRDefault="006160EF" w:rsidP="006160EF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 </w:t>
      </w:r>
      <w:r>
        <w:rPr>
          <w:sz w:val="28"/>
          <w:szCs w:val="28"/>
        </w:rPr>
        <w:t xml:space="preserve">Участниками ОГЭ являются: </w:t>
      </w:r>
    </w:p>
    <w:p w:rsidR="006160EF" w:rsidRDefault="006160EF" w:rsidP="006160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допущенные в текущем году к ОГЭ.</w:t>
      </w:r>
    </w:p>
    <w:p w:rsidR="006160EF" w:rsidRDefault="006160EF" w:rsidP="006160EF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ОГЭ</w:t>
      </w:r>
      <w:r w:rsidR="00F8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необходимо </w:t>
      </w:r>
      <w:r>
        <w:rPr>
          <w:bCs/>
          <w:sz w:val="28"/>
          <w:szCs w:val="28"/>
        </w:rPr>
        <w:t xml:space="preserve">до 1 марта (включительно) текущего года </w:t>
      </w:r>
      <w:r>
        <w:rPr>
          <w:sz w:val="28"/>
          <w:szCs w:val="28"/>
        </w:rPr>
        <w:t>подать заявление с перечнем выбранных учебных предметов и согласие на обработку персональных данных (обязательное условие)</w:t>
      </w:r>
      <w:r w:rsidR="00F82157">
        <w:rPr>
          <w:sz w:val="28"/>
          <w:szCs w:val="28"/>
        </w:rPr>
        <w:t xml:space="preserve"> </w:t>
      </w:r>
      <w:r w:rsidRPr="006D1256">
        <w:rPr>
          <w:sz w:val="28"/>
        </w:rPr>
        <w:t>в</w:t>
      </w:r>
      <w:r w:rsidR="00F82157">
        <w:rPr>
          <w:sz w:val="28"/>
        </w:rPr>
        <w:t xml:space="preserve"> </w:t>
      </w:r>
      <w:r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</w:p>
    <w:p w:rsidR="006160EF" w:rsidRDefault="006160EF" w:rsidP="006160EF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ОГЭ подается в места регистрации, определенные ОИВ и опубликованные на </w:t>
      </w:r>
      <w:r w:rsidRPr="0098026A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="00F82157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ОИВ до 31 декабря текущего года.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160EF" w:rsidRPr="000F30D0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</w:t>
      </w:r>
      <w:r w:rsidR="007E34FE">
        <w:rPr>
          <w:color w:val="000000"/>
          <w:sz w:val="28"/>
          <w:szCs w:val="28"/>
        </w:rPr>
        <w:t xml:space="preserve"> </w:t>
      </w:r>
      <w:r w:rsidRPr="000F30D0">
        <w:rPr>
          <w:color w:val="000000"/>
          <w:sz w:val="28"/>
          <w:szCs w:val="28"/>
        </w:rPr>
        <w:t>(</w:t>
      </w:r>
      <w:hyperlink r:id="rId7" w:history="1">
        <w:r w:rsidRPr="000F30D0">
          <w:rPr>
            <w:rStyle w:val="a3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ОИВ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1 марта текущего года о</w:t>
      </w:r>
      <w:r w:rsidRPr="00AD532A">
        <w:rPr>
          <w:sz w:val="28"/>
          <w:szCs w:val="28"/>
        </w:rPr>
        <w:t>бучающи</w:t>
      </w:r>
      <w:r>
        <w:rPr>
          <w:sz w:val="28"/>
          <w:szCs w:val="28"/>
        </w:rPr>
        <w:t>еся</w:t>
      </w:r>
      <w:r w:rsidRPr="00AD532A">
        <w:rPr>
          <w:sz w:val="28"/>
          <w:szCs w:val="28"/>
        </w:rPr>
        <w:t xml:space="preserve">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>
        <w:rPr>
          <w:sz w:val="28"/>
          <w:szCs w:val="28"/>
        </w:rPr>
        <w:t>еся</w:t>
      </w:r>
      <w:r w:rsidRPr="00AD532A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AD532A">
        <w:rPr>
          <w:sz w:val="28"/>
          <w:szCs w:val="28"/>
        </w:rPr>
        <w:t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</w:t>
      </w:r>
      <w:r w:rsidR="007E34FE">
        <w:rPr>
          <w:sz w:val="28"/>
          <w:szCs w:val="28"/>
        </w:rPr>
        <w:t>,</w:t>
      </w:r>
      <w:r w:rsidRPr="00AD532A">
        <w:rPr>
          <w:sz w:val="28"/>
          <w:szCs w:val="28"/>
        </w:rPr>
        <w:t xml:space="preserve"> чем за месяц до начала соответствующих экзаменов.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="00F82157">
        <w:rPr>
          <w:sz w:val="28"/>
          <w:szCs w:val="28"/>
        </w:rPr>
        <w:t xml:space="preserve"> </w:t>
      </w:r>
      <w:r>
        <w:rPr>
          <w:sz w:val="28"/>
          <w:szCs w:val="28"/>
        </w:rPr>
        <w:t>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</w:t>
      </w:r>
      <w:r w:rsidR="00F82157">
        <w:rPr>
          <w:sz w:val="28"/>
          <w:szCs w:val="28"/>
        </w:rPr>
        <w:t xml:space="preserve"> </w:t>
      </w:r>
      <w:r>
        <w:rPr>
          <w:sz w:val="28"/>
          <w:szCs w:val="28"/>
        </w:rPr>
        <w:t>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6160EF" w:rsidRPr="00140328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дети-инвалиды и инвалиды при желании имеют право пройти ГИА в форме ОГЭ. </w:t>
      </w:r>
    </w:p>
    <w:p w:rsidR="006160EF" w:rsidRPr="00F82157" w:rsidRDefault="006160EF" w:rsidP="00F8215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160EF" w:rsidRDefault="006160EF" w:rsidP="006160EF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ОГЭ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должен иметь при себе гелевую, капиллярную или перьевую ручку с чернилами черного цвета.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словарем, выданными организаторами в аудитории.</w:t>
      </w:r>
      <w:r w:rsidR="00A01AB7">
        <w:rPr>
          <w:sz w:val="28"/>
          <w:szCs w:val="28"/>
        </w:rPr>
        <w:t xml:space="preserve"> </w:t>
      </w:r>
      <w:r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>
        <w:rPr>
          <w:sz w:val="28"/>
          <w:szCs w:val="28"/>
        </w:rPr>
        <w:t>на базе, которой организован</w:t>
      </w:r>
      <w:r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>
        <w:rPr>
          <w:sz w:val="28"/>
          <w:szCs w:val="28"/>
        </w:rPr>
        <w:t xml:space="preserve"> Пользование личными орфографическими словарями</w:t>
      </w:r>
      <w:r w:rsidR="00A01AB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ОГЭ запрещено.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 образовательной программы основного общего </w:t>
      </w:r>
      <w:r>
        <w:rPr>
          <w:sz w:val="28"/>
          <w:szCs w:val="28"/>
        </w:rPr>
        <w:lastRenderedPageBreak/>
        <w:t>образования (далее – справочные материалы), участник ОГЭ получает вместе с экзаменационными материалами.</w:t>
      </w:r>
      <w:r w:rsidR="00F82157">
        <w:rPr>
          <w:sz w:val="28"/>
          <w:szCs w:val="28"/>
        </w:rPr>
        <w:t xml:space="preserve"> </w:t>
      </w:r>
      <w:r w:rsidRPr="00EE58D3">
        <w:rPr>
          <w:sz w:val="28"/>
          <w:szCs w:val="28"/>
        </w:rPr>
        <w:t xml:space="preserve">Пользование личными </w:t>
      </w:r>
      <w:r>
        <w:rPr>
          <w:sz w:val="28"/>
          <w:szCs w:val="28"/>
        </w:rPr>
        <w:t>справочными материалами</w:t>
      </w:r>
      <w:r w:rsidRPr="00EE58D3">
        <w:rPr>
          <w:sz w:val="28"/>
          <w:szCs w:val="28"/>
        </w:rPr>
        <w:t xml:space="preserve"> участниками ОГЭ запрещено</w:t>
      </w:r>
      <w:r>
        <w:rPr>
          <w:sz w:val="28"/>
          <w:szCs w:val="28"/>
        </w:rPr>
        <w:t>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ОГЭ получит вместе с экзаменационными материалами.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физике участнику ОГЭ разрешается иметь при себе и пользоваться непрограммируемым калькулятором.</w:t>
      </w:r>
      <w:r w:rsidR="00F8215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Необходимое лабораторное оборудование</w:t>
      </w:r>
      <w:r w:rsidR="00F82157">
        <w:rPr>
          <w:sz w:val="28"/>
          <w:szCs w:val="28"/>
        </w:rPr>
        <w:t xml:space="preserve"> </w:t>
      </w:r>
      <w:r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 и линейкой.  Географические атласы за 7, 8 и 9 классы</w:t>
      </w:r>
      <w:r>
        <w:t xml:space="preserve">, </w:t>
      </w:r>
      <w:r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>
        <w:rPr>
          <w:sz w:val="28"/>
          <w:szCs w:val="28"/>
        </w:rPr>
        <w:t>г</w:t>
      </w:r>
      <w:r w:rsidRPr="00A04F9C">
        <w:rPr>
          <w:sz w:val="28"/>
          <w:szCs w:val="28"/>
        </w:rPr>
        <w:t>еографически</w:t>
      </w:r>
      <w:r>
        <w:rPr>
          <w:sz w:val="28"/>
          <w:szCs w:val="28"/>
        </w:rPr>
        <w:t>ми</w:t>
      </w:r>
      <w:r w:rsidRPr="00A04F9C">
        <w:rPr>
          <w:sz w:val="28"/>
          <w:szCs w:val="28"/>
        </w:rPr>
        <w:t xml:space="preserve"> атлас</w:t>
      </w:r>
      <w:r>
        <w:rPr>
          <w:sz w:val="28"/>
          <w:szCs w:val="28"/>
        </w:rPr>
        <w:t>ами</w:t>
      </w:r>
      <w:r w:rsidRPr="00A04F9C">
        <w:rPr>
          <w:sz w:val="28"/>
          <w:szCs w:val="28"/>
        </w:rPr>
        <w:t xml:space="preserve"> участниками ОГЭ запрещено.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биологии участнику ОГЭ разрешается иметь при себе и пользоваться</w:t>
      </w:r>
      <w:r w:rsidR="00F82157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линейкой, карандашом и</w:t>
      </w:r>
      <w:r w:rsidR="00F82157">
        <w:rPr>
          <w:sz w:val="28"/>
          <w:szCs w:val="28"/>
        </w:rPr>
        <w:t xml:space="preserve"> </w:t>
      </w:r>
      <w:r w:rsidRPr="000333A1">
        <w:rPr>
          <w:sz w:val="28"/>
          <w:szCs w:val="28"/>
        </w:rPr>
        <w:t>непрограммируемым калькулятором</w:t>
      </w:r>
      <w:r>
        <w:rPr>
          <w:sz w:val="28"/>
          <w:szCs w:val="28"/>
        </w:rPr>
        <w:t>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Pr="00946751">
        <w:rPr>
          <w:sz w:val="28"/>
          <w:szCs w:val="28"/>
        </w:rPr>
        <w:t>участнику ОГЭ</w:t>
      </w:r>
      <w:r w:rsidR="00F82157"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разрешается пользоваться</w:t>
      </w:r>
      <w:r w:rsidR="00F82157"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Pr="00114896">
        <w:rPr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sz w:val="28"/>
          <w:szCs w:val="28"/>
        </w:rPr>
        <w:t>.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подходит к информационному стенду(или направляется организатором), где размещены списки распределения по аудиториям, и определяет аудиторию, куда он распределен на экзамен. Организаторы оказывают содействие участникам ОГЭ </w:t>
      </w:r>
      <w:r w:rsidRPr="00A3435C">
        <w:rPr>
          <w:sz w:val="28"/>
          <w:szCs w:val="28"/>
        </w:rPr>
        <w:t xml:space="preserve"> в размещении в аудиториях, в которых будет проходить экзамен.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аудиторию участник ОГЭ оставляет в специально выделенном в аудитории месте личные вещи, кроме разрешенных для использования на экзамене.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Pr="00151F6B">
        <w:rPr>
          <w:sz w:val="28"/>
          <w:szCs w:val="28"/>
        </w:rPr>
        <w:t>Организаторы информируют обучающихся о том, что записи на</w:t>
      </w:r>
      <w:r w:rsidR="00F82157">
        <w:rPr>
          <w:sz w:val="28"/>
          <w:szCs w:val="28"/>
        </w:rPr>
        <w:t xml:space="preserve"> </w:t>
      </w:r>
      <w:r w:rsidRPr="00151F6B">
        <w:rPr>
          <w:sz w:val="28"/>
          <w:szCs w:val="28"/>
        </w:rPr>
        <w:t>КИМ для проведения ОГЭ, текстах, темах, заданиях, билетах для проведения ГВЭ и черновиках не обрабатываются и не проверяются.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 xml:space="preserve">экзаменационные материалы (КИМ, бланки для записи ответов, </w:t>
      </w:r>
      <w:r w:rsidRPr="00AB283E">
        <w:rPr>
          <w:sz w:val="28"/>
          <w:szCs w:val="28"/>
        </w:rPr>
        <w:t>черновики</w:t>
      </w:r>
      <w:r>
        <w:rPr>
          <w:sz w:val="28"/>
          <w:szCs w:val="28"/>
        </w:rPr>
        <w:t>,</w:t>
      </w:r>
      <w:r w:rsidRPr="00AB283E">
        <w:rPr>
          <w:sz w:val="28"/>
          <w:szCs w:val="28"/>
        </w:rPr>
        <w:t xml:space="preserve"> разрешенные к использованию справочные материалы</w:t>
      </w:r>
      <w:r>
        <w:rPr>
          <w:sz w:val="28"/>
          <w:szCs w:val="28"/>
        </w:rPr>
        <w:t>, лабораторное оборудование (при необходимости)).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организатора участник ОГЭ заполняет регистрационные  поля бланков. </w:t>
      </w:r>
      <w:r w:rsidRPr="00151F6B">
        <w:rPr>
          <w:sz w:val="28"/>
          <w:szCs w:val="28"/>
        </w:rPr>
        <w:t xml:space="preserve">Организаторы проверяют правильность заполнения обучающимися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Pr="008F59C1">
        <w:rPr>
          <w:sz w:val="28"/>
          <w:szCs w:val="28"/>
        </w:rPr>
        <w:t>(по завершении заполнения регистрационных полей экзаменационной работы всеми обучающимися)</w:t>
      </w:r>
      <w:r>
        <w:rPr>
          <w:sz w:val="28"/>
          <w:szCs w:val="28"/>
        </w:rPr>
        <w:t xml:space="preserve">организатор объявляет начало экзамена, </w:t>
      </w:r>
      <w:r w:rsidRPr="001C037A">
        <w:rPr>
          <w:sz w:val="28"/>
          <w:szCs w:val="28"/>
        </w:rPr>
        <w:t xml:space="preserve">и фиксирует время его начала на доске (стенде), </w:t>
      </w:r>
      <w:r>
        <w:rPr>
          <w:sz w:val="28"/>
          <w:szCs w:val="28"/>
        </w:rPr>
        <w:t xml:space="preserve">затем участник ОГЭ приступает к выполнению экзаменационной работы. 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F82157">
        <w:rPr>
          <w:sz w:val="28"/>
          <w:szCs w:val="28"/>
        </w:rPr>
        <w:t xml:space="preserve"> </w:t>
      </w:r>
      <w:r w:rsidRPr="00151F6B">
        <w:rPr>
          <w:sz w:val="28"/>
          <w:szCs w:val="28"/>
        </w:rPr>
        <w:t xml:space="preserve">Дополнительный бланк </w:t>
      </w:r>
      <w:r w:rsidRPr="00507E10">
        <w:rPr>
          <w:sz w:val="28"/>
          <w:szCs w:val="28"/>
        </w:rPr>
        <w:t>выдается участнику</w:t>
      </w:r>
      <w:r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предметам;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 xml:space="preserve">специальные технические средства (для обучающихся с ОВЗ, детей </w:t>
      </w:r>
      <w:r w:rsidRPr="001C2242">
        <w:rPr>
          <w:sz w:val="28"/>
          <w:szCs w:val="28"/>
        </w:rPr>
        <w:lastRenderedPageBreak/>
        <w:t>инвалидов, инвалидов)</w:t>
      </w:r>
      <w:r>
        <w:rPr>
          <w:sz w:val="28"/>
          <w:szCs w:val="28"/>
        </w:rPr>
        <w:t>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="00F82157">
        <w:rPr>
          <w:sz w:val="28"/>
          <w:szCs w:val="28"/>
        </w:rPr>
        <w:t xml:space="preserve"> </w:t>
      </w:r>
      <w:r w:rsidRPr="00D5549D">
        <w:rPr>
          <w:sz w:val="28"/>
          <w:szCs w:val="28"/>
        </w:rPr>
        <w:t>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r w:rsidRPr="00D5549D">
        <w:rPr>
          <w:sz w:val="28"/>
          <w:szCs w:val="28"/>
        </w:rPr>
        <w:t xml:space="preserve"> лиц, нарушивших устанавливаемый порядок проведения ГИА, из ППЭ. </w:t>
      </w:r>
      <w:r>
        <w:rPr>
          <w:sz w:val="28"/>
          <w:szCs w:val="28"/>
        </w:rPr>
        <w:t xml:space="preserve">Указанный 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резервные дни, предусмотренные расписанием.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сообщают участникам ОГЭ о скором завершении экзамена </w:t>
      </w:r>
      <w:r w:rsidRPr="003D6D4B">
        <w:rPr>
          <w:sz w:val="28"/>
          <w:szCs w:val="28"/>
        </w:rPr>
        <w:t>и напоминают о необходимости перенести ответы из черновиков в листы (бланки).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экзамена организаторы объявляют окончание экзамена и собирают экзаменационные материалы.</w:t>
      </w:r>
    </w:p>
    <w:p w:rsidR="00F82157" w:rsidRDefault="006160EF" w:rsidP="00A01AB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0" w:name="_Ref369009104"/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участников ОГЭ с ограниченными возможностями здоровья, детей-инвалидов и инвалидов, а также тех, кто обучался по состоянию </w:t>
      </w:r>
      <w:r>
        <w:rPr>
          <w:sz w:val="28"/>
          <w:szCs w:val="28"/>
        </w:rPr>
        <w:lastRenderedPageBreak/>
        <w:t>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0"/>
      <w:r>
        <w:rPr>
          <w:color w:val="000000"/>
          <w:sz w:val="28"/>
          <w:szCs w:val="28"/>
        </w:rPr>
        <w:t>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ОГЭ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ассистент-сурдопереводчик</w:t>
      </w:r>
      <w:r>
        <w:rPr>
          <w:color w:val="000000"/>
          <w:sz w:val="28"/>
          <w:szCs w:val="28"/>
        </w:rPr>
        <w:t>.</w:t>
      </w:r>
    </w:p>
    <w:p w:rsidR="006160EF" w:rsidRPr="00114298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Pr="00F46905">
        <w:rPr>
          <w:color w:val="000000"/>
          <w:sz w:val="28"/>
          <w:szCs w:val="28"/>
        </w:rPr>
        <w:t xml:space="preserve">в присутствии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 xml:space="preserve">с нарушением опорно-двигательного аппарата                      </w:t>
      </w:r>
      <w:r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по медицинским показаниям не имеющих возможности прийти в ППЭ, экзамен может быть организован на дому.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>
        <w:rPr>
          <w:sz w:val="28"/>
          <w:szCs w:val="28"/>
        </w:rPr>
        <w:lastRenderedPageBreak/>
        <w:t>уполномоченный член ГЭК. ППЭ на дому оснащается системой видеонаблюдения в режиме «офлайн».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ОГЭ с результатами экзаменов и условиями повторного допуска к сдаче экзаменов в текущем году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6160EF" w:rsidRPr="009571DB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</w:p>
    <w:p w:rsidR="006160EF" w:rsidRPr="009571DB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 xml:space="preserve">получившие на ГИА неудовлетворительный результат по одному из обязательных учебных предметов, </w:t>
      </w:r>
    </w:p>
    <w:p w:rsidR="006160EF" w:rsidRPr="009571DB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6160EF" w:rsidRPr="009571DB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571DB">
        <w:rPr>
          <w:sz w:val="28"/>
          <w:szCs w:val="28"/>
        </w:rPr>
        <w:t>апелляция которых о нарушении установленного порядка проведения ОГЭ конфликтной комиссией была удовлетворена.</w:t>
      </w: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6160EF" w:rsidRDefault="006160EF" w:rsidP="006160EF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6160EF" w:rsidRPr="000F30D0" w:rsidRDefault="006160EF" w:rsidP="006160EF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</w:t>
      </w:r>
      <w:r w:rsidR="00F8215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>
        <w:rPr>
          <w:sz w:val="28"/>
          <w:szCs w:val="28"/>
        </w:rPr>
        <w:t>.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</w:p>
    <w:p w:rsidR="006160EF" w:rsidRPr="00E62223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</w:t>
      </w:r>
      <w:r w:rsidRPr="00E62223">
        <w:rPr>
          <w:sz w:val="28"/>
          <w:szCs w:val="28"/>
        </w:rPr>
        <w:lastRenderedPageBreak/>
        <w:t>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6160EF" w:rsidRPr="00E62223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6160EF" w:rsidRPr="00E62223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6160EF" w:rsidRPr="00E62223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>предусмотренный расписанием ГИА (резервные дни).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Pr="00D94794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6160EF" w:rsidRPr="00ED576C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6160EF" w:rsidRDefault="006160EF" w:rsidP="006160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6160EF" w:rsidRPr="00ED576C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6160EF" w:rsidRPr="00ED576C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6160EF" w:rsidRPr="00ED576C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6160EF" w:rsidRDefault="006160EF" w:rsidP="006160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6160EF" w:rsidRDefault="006160EF" w:rsidP="006160EF">
      <w:pPr>
        <w:ind w:firstLine="709"/>
        <w:jc w:val="center"/>
        <w:rPr>
          <w:b/>
          <w:sz w:val="28"/>
          <w:szCs w:val="28"/>
        </w:rPr>
      </w:pPr>
    </w:p>
    <w:p w:rsidR="0067414F" w:rsidRDefault="0067414F"/>
    <w:sectPr w:rsidR="0067414F" w:rsidSect="00F821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49" w:rsidRDefault="00427A49" w:rsidP="006160EF">
      <w:r>
        <w:separator/>
      </w:r>
    </w:p>
  </w:endnote>
  <w:endnote w:type="continuationSeparator" w:id="1">
    <w:p w:rsidR="00427A49" w:rsidRDefault="00427A49" w:rsidP="0061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49" w:rsidRDefault="00427A49" w:rsidP="006160EF">
      <w:r>
        <w:separator/>
      </w:r>
    </w:p>
  </w:footnote>
  <w:footnote w:type="continuationSeparator" w:id="1">
    <w:p w:rsidR="00427A49" w:rsidRDefault="00427A49" w:rsidP="0061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0EF"/>
    <w:rsid w:val="002344E2"/>
    <w:rsid w:val="002B331A"/>
    <w:rsid w:val="00427A49"/>
    <w:rsid w:val="006160EF"/>
    <w:rsid w:val="0067414F"/>
    <w:rsid w:val="007E34FE"/>
    <w:rsid w:val="00A01AB7"/>
    <w:rsid w:val="00C01BCC"/>
    <w:rsid w:val="00CE2C3D"/>
    <w:rsid w:val="00F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0EF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0E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0EF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0E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60EF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0E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60E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60E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0E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0E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0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0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60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60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60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60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60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160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60E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160E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6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60EF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3284</Words>
  <Characters>18720</Characters>
  <Application>Microsoft Office Word</Application>
  <DocSecurity>0</DocSecurity>
  <Lines>156</Lines>
  <Paragraphs>43</Paragraphs>
  <ScaleCrop>false</ScaleCrop>
  <Company>Home</Company>
  <LinksUpToDate>false</LinksUpToDate>
  <CharactersWithSpaces>21961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2014-04-08T08:48:00Z</dcterms:created>
  <dcterms:modified xsi:type="dcterms:W3CDTF">2014-04-08T09:06:00Z</dcterms:modified>
</cp:coreProperties>
</file>